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Ind w:w="0" w:type="dxa"/>
        <w:tblStyle w:val="TableGrid"/>
        <w:tblOverlap w:val="Never"/>
        <w:tblW w:w="15421" w:type="dxa"/>
        <w:tblLook w:val="01E0"/>
        <w:tblLayout w:type="fixed"/>
        <w:tblBorders/>
        <w:jc w:val="left"/>
      </w:tblPr>
      <w:tblGrid>
        <w:gridCol w:val="9252"/>
        <w:gridCol w:val="6169"/>
      </w:tblGrid>
      <w:tr>
        <w:trPr/>
        <w:tc>
          <w:tcPr>
            <w:tcW w:w="9252" w:type="dxa"/>
            <w:tcBorders/>
            <w:tcMar>
              <w:bottom w:w="0" w:type="dxa"/>
              <w:left w:w="0" w:type="dxa"/>
              <w:top w:w="0" w:type="dxa"/>
              <w:right w:w="0" w:type="dxa"/>
            </w:tcMar>
            <w:vAlign w:val="baseline"/>
            <w:noWrap w:val="off"/>
          </w:tcPr>
          <w:pPr>
            <w:jc w:val="both"/>
          </w:pPr>
          <w:p>
            <w:pPr>
              <w:spacing w:line="1" w:lineRule="auto"/>
            </w:pPr>
          </w:p>
        </w:tc>
        <w:tc>
          <w:tcPr>
            <w:tcW w:w="6169" w:type="dxa"/>
            <w:vMerge w:val="restart"/>
            <w:tcBorders/>
            <w:tcMar>
              <w:bottom w:w="0" w:type="dxa"/>
              <w:left w:w="0" w:type="dxa"/>
              <w:top w:w="0" w:type="dxa"/>
              <w:right w:w="0" w:type="dxa"/>
            </w:tcMar>
            <w:vAlign w:val="baseline"/>
            <w:noWrap w:val="off"/>
          </w:tcPr>
          <w:pPr>
            <w:jc w:val="both"/>
          </w:pPr>
          <w:tbl>
            <w:tblPr>
              <w:tblInd w:w="0" w:type="dxa"/>
              <w:tblStyle w:val="TableGrid"/>
              <w:tblOverlap w:val="Never"/>
              <w:tblW w:w="6169" w:type="dxa"/>
              <w:tblLook w:val="01E0"/>
              <w:tblLayout w:type="fixed"/>
              <w:tblBorders/>
              <w:jc w:val="lef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r>
              <w:trPr/>
              <w:tc>
                <w:tcPr>
                  <w:tcW w:w="6169" w:type="dxa"/>
                  <w:tcBorders/>
                  <w:tcMar>
                    <w:bottom w:w="560" w:type="dxa"/>
                    <w:left w:w="0" w:type="dxa"/>
                    <w:top w:w="0" w:type="dxa"/>
                    <w:right w:w="0" w:type="dxa"/>
                  </w:tcMar>
                  <w:vAlign w:val="baseline"/>
                  <w:noWrap w:val="off"/>
                </w:tcPr>
                <w:pPr>
                  <w:jc w:val="both"/>
                </w:pPr>
                <w:p>
                  <w:pPr>
                    <w:spacing w:before="0" w:after="0"/>
                    <w:jc w:val="both"/>
                    <w:bidi w:val="off"/>
                  </w:pPr>
                  <w:r>
                    <w:rPr>
                      <w:color w:val="000000"/>
                      <w:rFonts w:ascii="Times New Roman" w:eastAsia="Times New Roman" w:hAnsi="Times New Roman" w:cs="Times New Roman"/>
                      <w:sz w:val="28"/>
                      <w:szCs w:val="28"/>
                      <w:spacing w:val="0"/>
                      <w:jc w:val="both"/>
                    </w:rPr>
                    <w:t xml:space="preserve">Приложение №2</w:t>
                  </w:r>
                </w:p>
                <w:p>
                  <w:pPr>
                    <w:spacing w:before="0" w:after="0"/>
                    <w:jc w:val="both"/>
                    <w:bidi w:val="off"/>
                  </w:pPr>
                  <w:r>
                    <w:rPr>
                      <w:color w:val="000000"/>
                      <w:rFonts w:ascii="Times New Roman" w:eastAsia="Times New Roman" w:hAnsi="Times New Roman" w:cs="Times New Roman"/>
                      <w:sz w:val="28"/>
                      <w:szCs w:val="28"/>
                      <w:spacing w:val="0"/>
                      <w:jc w:val="both"/>
                    </w:rPr>
                    <w:t xml:space="preserve">к решению Совета депутатов муниципального</w:t>
                  </w:r>
                </w:p>
                <w:p>
                  <w:pPr>
                    <w:spacing w:before="0" w:after="0"/>
                    <w:jc w:val="both"/>
                    <w:bidi w:val="off"/>
                  </w:pPr>
                  <w:r>
                    <w:rPr>
                      <w:color w:val="000000"/>
                      <w:rFonts w:ascii="Times New Roman" w:eastAsia="Times New Roman" w:hAnsi="Times New Roman" w:cs="Times New Roman"/>
                      <w:sz w:val="28"/>
                      <w:szCs w:val="28"/>
                      <w:spacing w:val="0"/>
                      <w:jc w:val="both"/>
                    </w:rPr>
                    <w:t xml:space="preserve">образования Ленинский сельсовет</w:t>
                  </w:r>
                </w:p>
                <w:p>
                  <w:pPr>
                    <w:spacing w:before="0" w:after="0"/>
                    <w:jc w:val="both"/>
                    <w:bidi w:val="off"/>
                  </w:pPr>
                  <w:r>
                    <w:rPr>
                      <w:color w:val="000000"/>
                      <w:rFonts w:ascii="Times New Roman" w:eastAsia="Times New Roman" w:hAnsi="Times New Roman" w:cs="Times New Roman"/>
                      <w:sz w:val="28"/>
                      <w:szCs w:val="28"/>
                      <w:spacing w:val="0"/>
                      <w:jc w:val="both"/>
                    </w:rPr>
                    <w:t xml:space="preserve">от</w:t>
                  </w:r>
                </w:p>
                <w:p>
                  <w:pPr>
                    <w:spacing w:before="0" w:after="0"/>
                    <w:jc w:val="both"/>
                    <w:bidi w:val="off"/>
                  </w:pPr>
                  <w:r>
                    <w:rPr>
                      <w:color w:val="000000"/>
                      <w:rFonts w:ascii="Times New Roman" w:eastAsia="Times New Roman" w:hAnsi="Times New Roman" w:cs="Times New Roman"/>
                      <w:sz w:val="28"/>
                      <w:szCs w:val="28"/>
                      <w:spacing w:val="0"/>
                      <w:jc w:val="both"/>
                    </w:rPr>
                    <w:t xml:space="preserve">№</w:t>
                  </w:r>
                </w:p>
              </w:tc>
            </w:tr>
          </w:tbl>
          <w:p>
            <w:pPr>
              <w:spacing w:line="1" w:lineRule="auto"/>
            </w:pPr>
          </w:p>
        </w:tc>
      </w:tr>
      <w:tr>
        <w:trPr/>
        <w:tc>
          <w:tcPr>
            <w:tcW w:w="9252" w:type="dxa"/>
            <w:tcBorders/>
            <w:tcMar>
              <w:bottom w:w="0" w:type="dxa"/>
              <w:left w:w="0" w:type="dxa"/>
              <w:top w:w="0" w:type="dxa"/>
              <w:right w:w="0" w:type="dxa"/>
            </w:tcMar>
            <w:vAlign w:val="baseline"/>
            <w:noWrap w:val="off"/>
          </w:tcPr>
          <w:pPr>
            <w:jc w:val="both"/>
          </w:pPr>
          <w:p>
            <w:pPr>
              <w:spacing w:line="1" w:lineRule="auto"/>
            </w:pPr>
          </w:p>
        </w:tc>
        <w:tc>
          <w:tcPr>
            <w:tcW w:w="6169" w:type="dxa"/>
            <w:vMerge/>
            <w:tcBorders/>
            <w:tcMar>
              <w:bottom w:w="0" w:type="dxa"/>
              <w:left w:w="0" w:type="dxa"/>
              <w:top w:w="0" w:type="dxa"/>
              <w:right w:w="0" w:type="dxa"/>
            </w:tcMar>
            <w:vAlign w:val="baseline"/>
            <w:noWrap w:val="off"/>
          </w:tcPr>
          <w:p>
            <w:pPr>
              <w:spacing w:line="1" w:lineRule="auto"/>
            </w:pPr>
          </w:p>
        </w:tc>
      </w:tr>
      <w:tr>
        <w:trPr/>
        <w:tc>
          <w:tcPr>
            <w:tcW w:w="9252" w:type="dxa"/>
            <w:tcBorders/>
            <w:tcMar>
              <w:bottom w:w="0" w:type="dxa"/>
              <w:left w:w="0" w:type="dxa"/>
              <w:top w:w="0" w:type="dxa"/>
              <w:right w:w="0" w:type="dxa"/>
            </w:tcMar>
            <w:vAlign w:val="baseline"/>
            <w:noWrap w:val="off"/>
          </w:tcPr>
          <w:pPr>
            <w:jc w:val="both"/>
          </w:pPr>
          <w:p>
            <w:pPr>
              <w:spacing w:line="1" w:lineRule="auto"/>
            </w:pPr>
          </w:p>
        </w:tc>
        <w:tc>
          <w:tcPr>
            <w:tcW w:w="6169" w:type="dxa"/>
            <w:vMerge/>
            <w:tcBorders/>
            <w:tcMar>
              <w:bottom w:w="0" w:type="dxa"/>
              <w:left w:w="0" w:type="dxa"/>
              <w:top w:w="0" w:type="dxa"/>
              <w:right w:w="0" w:type="dxa"/>
            </w:tcMar>
            <w:vAlign w:val="baseline"/>
            <w:noWrap w:val="off"/>
          </w:tcPr>
          <w:p>
            <w:pPr>
              <w:spacing w:line="1" w:lineRule="auto"/>
            </w:pPr>
          </w:p>
        </w:tc>
      </w:tr>
      <w:tr>
        <w:trPr/>
        <w:tc>
          <w:tcPr>
            <w:tcW w:w="9252" w:type="dxa"/>
            <w:tcBorders/>
            <w:tcMar>
              <w:bottom w:w="0" w:type="dxa"/>
              <w:left w:w="0" w:type="dxa"/>
              <w:top w:w="0" w:type="dxa"/>
              <w:right w:w="0" w:type="dxa"/>
            </w:tcMar>
            <w:vAlign w:val="baseline"/>
            <w:noWrap w:val="off"/>
          </w:tcPr>
          <w:pPr>
            <w:jc w:val="both"/>
          </w:pPr>
          <w:p>
            <w:pPr>
              <w:spacing w:line="1" w:lineRule="auto"/>
            </w:pPr>
          </w:p>
        </w:tc>
        <w:tc>
          <w:tcPr>
            <w:tcW w:w="6169" w:type="dxa"/>
            <w:vMerge/>
            <w:tcBorders/>
            <w:tcMar>
              <w:bottom w:w="0" w:type="dxa"/>
              <w:left w:w="0" w:type="dxa"/>
              <w:top w:w="0" w:type="dxa"/>
              <w:right w:w="0" w:type="dxa"/>
            </w:tcMar>
            <w:vAlign w:val="baseline"/>
            <w:noWrap w:val="off"/>
          </w:tcPr>
          <w:p>
            <w:pPr>
              <w:spacing w:line="1" w:lineRule="auto"/>
            </w:pPr>
          </w:p>
        </w:tc>
      </w:tr>
      <w:tr>
        <w:trPr/>
        <w:tc>
          <w:tcPr>
            <w:tcW w:w="9252" w:type="dxa"/>
            <w:tcBorders/>
            <w:tcMar>
              <w:bottom w:w="0" w:type="dxa"/>
              <w:left w:w="0" w:type="dxa"/>
              <w:top w:w="0" w:type="dxa"/>
              <w:right w:w="0" w:type="dxa"/>
            </w:tcMar>
            <w:vAlign w:val="baseline"/>
            <w:noWrap w:val="off"/>
          </w:tcPr>
          <w:pPr>
            <w:jc w:val="both"/>
          </w:pPr>
          <w:p>
            <w:pPr>
              <w:spacing w:line="1" w:lineRule="auto"/>
            </w:pPr>
          </w:p>
        </w:tc>
        <w:tc>
          <w:tcPr>
            <w:tcW w:w="6169" w:type="dxa"/>
            <w:vMerge/>
            <w:tcBorders/>
            <w:tcMar>
              <w:bottom w:w="0" w:type="dxa"/>
              <w:left w:w="0" w:type="dxa"/>
              <w:top w:w="0" w:type="dxa"/>
              <w:right w:w="0" w:type="dxa"/>
            </w:tcMar>
            <w:vAlign w:val="baseline"/>
            <w:noWrap w:val="off"/>
          </w:tcPr>
          <w:p>
            <w:pPr>
              <w:spacing w:line="1" w:lineRule="auto"/>
            </w:pPr>
          </w:p>
        </w:tc>
      </w:tr>
    </w:tbl>
    <w:p>
      <w:rPr>
        <w:vanish w:val="on"/>
      </w:rPr>
    </w:p>
    <w:tbl>
      <w:tblPr>
        <w:tblInd w:w="0" w:type="dxa"/>
        <w:tblStyle w:val="TableGrid"/>
        <w:tblOverlap w:val="Never"/>
        <w:tblW w:w="15421" w:type="dxa"/>
        <w:tblLook w:val="01E0"/>
        <w:tblLayout w:type="fixed"/>
        <w:tblBorders/>
        <w:jc w:val="center"/>
        <w:tblCellMar>
          <w:top w:w="0" w:type="dxa"/>
          <w:left w:w="0" w:type="dxa"/>
          <w:bottom w:w="0" w:type="dxa"/>
          <w:right w:w="0" w:type="dxa"/>
        </w:tblCellMar>
      </w:tblPr>
      <w:tr>
        <w:trPr/>
        <w:tc>
          <w:tcPr>
            <w:tcW w:w="15421" w:type="dxa"/>
            <w:tcBorders/>
            <w:tcMar>
              <w:bottom w:w="560" w:type="dxa"/>
              <w:left w:w="0" w:type="dxa"/>
              <w:top w:w="0" w:type="dxa"/>
              <w:right w:w="0" w:type="dxa"/>
            </w:tcMar>
            <w:vAlign w:val="baseline"/>
            <w:noWrap w:val="off"/>
          </w:tcPr>
          <w:pPr>
            <w:jc w:val="center"/>
          </w:pPr>
          <w:p>
            <w:pPr>
              <w:spacing w:before="0" w:after="0"/>
              <w:jc w:val="center"/>
              <w:ind w:firstLine="420"/>
              <w:bidi w:val="off"/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  <w:jc w:val="center"/>
              </w:rPr>
              <w:t xml:space="preserve">Распределение бюджетных ассигнований бюджета муниципального образования Ленинский сельсовет по целевым статьям (муниципальным программам и непрограммным направлениям деятельности), разделам, подразделам, группам и подгруппам видов расходов классификации расходов на 2025 год и на плановый период 2026 и 2027 годов</w:t>
            </w:r>
          </w:p>
        </w:tc>
      </w:tr>
    </w:tbl>
    <w:bookmarkStart w:id="0" w:name="__bookmark_1"/>
    <w:bookmarkEnd w:id="0"/>
    <w:p>
      <w:rPr>
        <w:vanish w:val="on"/>
      </w:rPr>
    </w:p>
    <w:tbl>
      <w:tblPr>
        <w:tblInd w:w="0" w:type="dxa"/>
        <w:tblStyle w:val="TableGrid"/>
        <w:tblOverlap w:val="Never"/>
        <w:tblW w:w="15421" w:type="dxa"/>
        <w:tblLook w:val="01E0"/>
        <w:tblLayout w:type="fixed"/>
        <w:tblBorders/>
      </w:tblPr>
      <w:tblGrid>
        <w:gridCol w:val="6355"/>
        <w:gridCol w:val="1984"/>
        <w:gridCol w:val="566"/>
        <w:gridCol w:val="566"/>
        <w:gridCol w:val="850"/>
        <w:gridCol w:val="1700"/>
        <w:gridCol w:val="1700"/>
        <w:gridCol w:val="1700"/>
      </w:tblGrid>
      <w:tr>
        <w:trPr>
          <w:tblHeader w:val="on"/>
        </w:trPr>
        <w:tc>
          <w:tcPr>
            <w:tcW w:w="63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center"/>
            <w:noWrap w:val="off"/>
          </w:tcPr>
          <w:pPr>
            <w:jc w:val="center"/>
          </w:pPr>
          <w:p>
            <w:pPr>
              <w:spacing w:before="0" w:after="0"/>
              <w:jc w:val="center"/>
              <w:bidi w:val="off"/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jc w:val="center"/>
              </w:rPr>
              <w:t xml:space="preserve">Наименование</w:t>
            </w:r>
          </w:p>
          <w:p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center"/>
            <w:noWrap w:val="off"/>
          </w:tcPr>
          <w:pPr>
            <w:jc w:val="center"/>
          </w:pPr>
          <w:p>
            <w:pPr>
              <w:spacing w:before="0" w:after="0"/>
              <w:jc w:val="center"/>
              <w:bidi w:val="off"/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jc w:val="center"/>
              </w:rPr>
              <w:t xml:space="preserve">ЦСР</w:t>
            </w:r>
          </w:p>
          <w:p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center"/>
            <w:noWrap w:val="off"/>
          </w:tcPr>
          <w:pPr>
            <w:jc w:val="center"/>
          </w:pPr>
          <w:p>
            <w:pPr>
              <w:spacing w:before="0" w:after="0"/>
              <w:jc w:val="center"/>
              <w:bidi w:val="off"/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jc w:val="center"/>
              </w:rPr>
              <w:t xml:space="preserve">РЗ</w:t>
            </w:r>
          </w:p>
          <w:p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center"/>
            <w:noWrap w:val="off"/>
          </w:tcPr>
          <w:pPr>
            <w:jc w:val="center"/>
          </w:pPr>
          <w:p>
            <w:pPr>
              <w:spacing w:before="0" w:after="0"/>
              <w:jc w:val="center"/>
              <w:bidi w:val="off"/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jc w:val="center"/>
              </w:rPr>
              <w:t xml:space="preserve">ПР</w:t>
            </w:r>
          </w:p>
          <w:p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center"/>
            <w:noWrap w:val="off"/>
          </w:tcPr>
          <w:pPr>
            <w:jc w:val="center"/>
          </w:pPr>
          <w:p>
            <w:pPr>
              <w:spacing w:before="0" w:after="0"/>
              <w:jc w:val="center"/>
              <w:bidi w:val="off"/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jc w:val="center"/>
              </w:rPr>
              <w:t xml:space="preserve">ВР</w:t>
            </w:r>
          </w:p>
          <w:p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center"/>
            <w:noWrap w:val="off"/>
          </w:tcPr>
          <w:pPr>
            <w:jc w:val="center"/>
          </w:pPr>
          <w:p>
            <w:pPr>
              <w:spacing w:before="0" w:after="0"/>
              <w:jc w:val="center"/>
              <w:bidi w:val="off"/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jc w:val="center"/>
              </w:rPr>
              <w:t xml:space="preserve">2025 год</w:t>
            </w:r>
          </w:p>
          <w:p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center"/>
            <w:noWrap w:val="off"/>
          </w:tcPr>
          <w:pPr>
            <w:jc w:val="center"/>
          </w:pPr>
          <w:p>
            <w:pPr>
              <w:spacing w:before="0" w:after="0"/>
              <w:jc w:val="center"/>
              <w:bidi w:val="off"/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jc w:val="center"/>
              </w:rPr>
              <w:t xml:space="preserve">2026 год</w:t>
            </w:r>
          </w:p>
          <w:p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center"/>
            <w:noWrap w:val="off"/>
          </w:tcPr>
          <w:pPr>
            <w:jc w:val="center"/>
          </w:pPr>
          <w:p>
            <w:pPr>
              <w:spacing w:before="0" w:after="0"/>
              <w:jc w:val="center"/>
              <w:bidi w:val="off"/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jc w:val="center"/>
              </w:rPr>
              <w:t xml:space="preserve">2027 год</w:t>
            </w:r>
          </w:p>
          <w:p>
            <w:pPr>
              <w:spacing w:line="1" w:lineRule="auto"/>
            </w:pPr>
          </w:p>
        </w:tc>
      </w:tr>
    </w:tbl>
    <w:bookmarkStart w:id="1" w:name="__bookmark_2"/>
    <w:bookmarkEnd w:id="1"/>
    <w:p>
      <w:rPr>
        <w:vanish w:val="on"/>
      </w:rPr>
    </w:p>
    <w:tbl>
      <w:tblPr>
        <w:tblInd w:w="0" w:type="dxa"/>
        <w:tblStyle w:val="TableGrid"/>
        <w:tblOverlap w:val="Never"/>
        <w:tblW w:w="15421" w:type="dxa"/>
        <w:tblLook w:val="01E0"/>
        <w:tblLayout w:type="fixed"/>
        <w:tblBorders/>
      </w:tblPr>
      <w:tblGrid>
        <w:gridCol w:val="6355"/>
        <w:gridCol w:val="1984"/>
        <w:gridCol w:val="566"/>
        <w:gridCol w:val="566"/>
        <w:gridCol w:val="850"/>
        <w:gridCol w:val="1700"/>
        <w:gridCol w:val="1700"/>
        <w:gridCol w:val="1700"/>
      </w:tblGrid>
      <w:tr>
        <w:trPr>
          <w:tblHeader w:val="on"/>
        </w:trPr>
        <w:tc>
          <w:tcPr>
            <w:tcW w:w="635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center"/>
            <w:noWrap w:val="off"/>
          </w:tcPr>
          <w:pPr>
            <w:jc w:val="center"/>
          </w:pPr>
          <w:p>
            <w:pPr>
              <w:spacing w:before="0" w:after="0"/>
              <w:jc w:val="center"/>
              <w:bidi w:val="off"/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jc w:val="center"/>
              </w:rPr>
              <w:t xml:space="preserve">1</w:t>
            </w:r>
          </w:p>
          <w:p>
            <w:pPr>
              <w:spacing w:line="1" w:lineRule="auto"/>
            </w:pP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center"/>
            <w:noWrap w:val="off"/>
          </w:tcPr>
          <w:pPr>
            <w:jc w:val="center"/>
          </w:pPr>
          <w:p>
            <w:pPr>
              <w:spacing w:before="0" w:after="0"/>
              <w:jc w:val="center"/>
              <w:bidi w:val="off"/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jc w:val="center"/>
              </w:rPr>
              <w:t xml:space="preserve">2</w:t>
            </w:r>
          </w:p>
          <w:p>
            <w:pPr>
              <w:spacing w:line="1" w:lineRule="auto"/>
            </w:pP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center"/>
            <w:noWrap w:val="off"/>
          </w:tcPr>
          <w:pPr>
            <w:jc w:val="center"/>
          </w:pPr>
          <w:p>
            <w:pPr>
              <w:spacing w:before="0" w:after="0"/>
              <w:jc w:val="center"/>
              <w:bidi w:val="off"/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jc w:val="center"/>
              </w:rPr>
              <w:t xml:space="preserve">3</w:t>
            </w:r>
          </w:p>
          <w:p>
            <w:pPr>
              <w:spacing w:line="1" w:lineRule="auto"/>
            </w:pP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center"/>
            <w:noWrap w:val="off"/>
          </w:tcPr>
          <w:pPr>
            <w:jc w:val="center"/>
          </w:pPr>
          <w:p>
            <w:pPr>
              <w:spacing w:before="0" w:after="0"/>
              <w:jc w:val="center"/>
              <w:bidi w:val="off"/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jc w:val="center"/>
              </w:rPr>
              <w:t xml:space="preserve">4</w:t>
            </w:r>
          </w:p>
          <w:p>
            <w:pPr>
              <w:spacing w:line="1" w:lineRule="auto"/>
            </w:pP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center"/>
            <w:noWrap w:val="off"/>
          </w:tcPr>
          <w:pPr>
            <w:jc w:val="center"/>
          </w:pPr>
          <w:p>
            <w:pPr>
              <w:spacing w:before="0" w:after="0"/>
              <w:jc w:val="center"/>
              <w:bidi w:val="off"/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jc w:val="center"/>
              </w:rPr>
              <w:t xml:space="preserve">5</w:t>
            </w:r>
          </w:p>
          <w:p>
            <w:pPr>
              <w:spacing w:line="1" w:lineRule="auto"/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center"/>
            <w:noWrap w:val="off"/>
          </w:tcPr>
          <w:pPr>
            <w:jc w:val="center"/>
          </w:pPr>
          <w:p>
            <w:pPr>
              <w:spacing w:before="0" w:after="0"/>
              <w:jc w:val="center"/>
              <w:bidi w:val="off"/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jc w:val="center"/>
              </w:rPr>
              <w:t xml:space="preserve">6</w:t>
            </w:r>
          </w:p>
          <w:p>
            <w:pPr>
              <w:spacing w:line="1" w:lineRule="auto"/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center"/>
            <w:noWrap w:val="off"/>
          </w:tcPr>
          <w:pPr>
            <w:jc w:val="center"/>
          </w:pPr>
          <w:p>
            <w:pPr>
              <w:spacing w:before="0" w:after="0"/>
              <w:jc w:val="center"/>
              <w:bidi w:val="off"/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jc w:val="center"/>
              </w:rPr>
              <w:t xml:space="preserve">7</w:t>
            </w:r>
          </w:p>
          <w:p>
            <w:pPr>
              <w:spacing w:line="1" w:lineRule="auto"/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center"/>
            <w:noWrap w:val="off"/>
          </w:tcPr>
          <w:pPr>
            <w:jc w:val="center"/>
          </w:pPr>
          <w:p>
            <w:pPr>
              <w:spacing w:before="0" w:after="0"/>
              <w:jc w:val="center"/>
              <w:bidi w:val="off"/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jc w:val="center"/>
              </w:rPr>
              <w:t xml:space="preserve">8</w:t>
            </w:r>
          </w:p>
          <w:p>
            <w:pPr>
              <w:spacing w:line="1" w:lineRule="auto"/>
            </w:pPr>
          </w:p>
        </w:tc>
      </w:tr>
      <w:tr>
        <w:trPr/>
        <w:tc>
          <w:tcPr>
            <w:tcW w:w="635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  <w:t xml:space="preserve">Непрограммные мероприятия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  <w:t xml:space="preserve">75 0 00 00000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</w:pP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</w:pP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  <w:t xml:space="preserve">6 300,00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  <w:t xml:space="preserve">6 500,00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  <w:t xml:space="preserve">6 500,00</w:t>
            </w:r>
          </w:p>
        </w:tc>
      </w:tr>
      <w:tr>
        <w:trPr/>
        <w:tc>
          <w:tcPr>
            <w:tcW w:w="635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75 0 00 59320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6 300,00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6 500,00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6 500,00</w:t>
            </w:r>
          </w:p>
        </w:tc>
      </w:tr>
      <w:tr>
        <w:trPr/>
        <w:tc>
          <w:tcPr>
            <w:tcW w:w="635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75 0 00 59320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03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04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240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6 300,00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6 500,00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6 500,00</w:t>
            </w:r>
          </w:p>
        </w:tc>
      </w:tr>
      <w:tr>
        <w:trPr/>
        <w:tc>
          <w:tcPr>
            <w:tcW w:w="635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  <w:t xml:space="preserve">Муниципальная программа (комплексная программа) "Развитие культуры села муниципального образования _________________ сель/поссовета Оренбургского района Оренбургской области на 2023-2030 годы"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  <w:t xml:space="preserve">81 0 00 00000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</w:pP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</w:pP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  <w:t xml:space="preserve">8 995 700,00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  <w:t xml:space="preserve">7 000 000,00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  <w:t xml:space="preserve">7 000 000,00</w:t>
            </w:r>
          </w:p>
        </w:tc>
      </w:tr>
      <w:tr>
        <w:trPr/>
        <w:tc>
          <w:tcPr>
            <w:tcW w:w="635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  <w:t xml:space="preserve">Комплексы процессных мероприятий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  <w:t xml:space="preserve">81 4 00 00000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</w:pP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</w:pP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  <w:t xml:space="preserve">8 995 700,00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  <w:t xml:space="preserve">7 000 000,00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  <w:t xml:space="preserve">7 000 000,00</w:t>
            </w:r>
          </w:p>
        </w:tc>
      </w:tr>
      <w:tr>
        <w:trPr/>
        <w:tc>
          <w:tcPr>
            <w:tcW w:w="635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Комплекс процессных мероприятий "Развитие библиотечного дела"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81 4 01 00000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488 364,00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500 000,00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500 000,00</w:t>
            </w:r>
          </w:p>
        </w:tc>
      </w:tr>
      <w:tr>
        <w:trPr/>
        <w:tc>
          <w:tcPr>
            <w:tcW w:w="635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Развитие библиотечного дела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81 4 01 70005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488 364,00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500 000,00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500 000,00</w:t>
            </w:r>
          </w:p>
        </w:tc>
      </w:tr>
      <w:tr>
        <w:trPr/>
        <w:tc>
          <w:tcPr>
            <w:tcW w:w="635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Субсидии бюджетным учреждениям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81 4 01 70005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08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01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488 364,00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500 000,00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500 000,00</w:t>
            </w:r>
          </w:p>
        </w:tc>
      </w:tr>
      <w:tr>
        <w:trPr/>
        <w:tc>
          <w:tcPr>
            <w:tcW w:w="635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Комплекс процессных мероприятий "Сохранение и развитие культуры"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81 4 02 00000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8 507 336,00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6 500 000,00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6 500 000,00</w:t>
            </w:r>
          </w:p>
        </w:tc>
      </w:tr>
      <w:tr>
        <w:trPr/>
        <w:tc>
          <w:tcPr>
            <w:tcW w:w="635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Иные межбюджетные трансферты, передаваемые бюджетам сельских поселений на исполнение наказов избирателей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81 4 02 63333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344 700,00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0,00</w:t>
            </w:r>
          </w:p>
        </w:tc>
      </w:tr>
      <w:tr>
        <w:trPr/>
        <w:tc>
          <w:tcPr>
            <w:tcW w:w="635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Субсидии бюджетным учреждениям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81 4 02 63333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08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01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344 700,00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0,00</w:t>
            </w:r>
          </w:p>
        </w:tc>
      </w:tr>
      <w:tr>
        <w:trPr/>
        <w:tc>
          <w:tcPr>
            <w:tcW w:w="635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Расходы на повышение оплаты труда работников муниципальных учреждений культуры и педагогических работников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81 4 02 67777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551 000,00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0,00</w:t>
            </w:r>
          </w:p>
        </w:tc>
      </w:tr>
      <w:tr>
        <w:trPr/>
        <w:tc>
          <w:tcPr>
            <w:tcW w:w="635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Субсидии бюджетным учреждениям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81 4 02 67777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08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01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551 000,00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0,00</w:t>
            </w:r>
          </w:p>
        </w:tc>
      </w:tr>
      <w:tr>
        <w:trPr/>
        <w:tc>
          <w:tcPr>
            <w:tcW w:w="635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Сохранение и развитие культуры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81 4 02 70011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7 500 000,00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6 500 000,00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6 500 000,00</w:t>
            </w:r>
          </w:p>
        </w:tc>
      </w:tr>
      <w:tr>
        <w:trPr/>
        <w:tc>
          <w:tcPr>
            <w:tcW w:w="635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Субсидии бюджетным учреждениям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81 4 02 70011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08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01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7 500 000,00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6 500 000,00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6 500 000,00</w:t>
            </w:r>
          </w:p>
        </w:tc>
      </w:tr>
      <w:tr>
        <w:trPr/>
        <w:tc>
          <w:tcPr>
            <w:tcW w:w="635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Содержание муниципального имущества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81 4 02 95555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111 636,00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0,00</w:t>
            </w:r>
          </w:p>
        </w:tc>
      </w:tr>
      <w:tr>
        <w:trPr/>
        <w:tc>
          <w:tcPr>
            <w:tcW w:w="635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Субсидии бюджетным учреждениям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81 4 02 95555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08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01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610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111 636,00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0,00</w:t>
            </w:r>
          </w:p>
        </w:tc>
      </w:tr>
      <w:tr>
        <w:trPr/>
        <w:tc>
          <w:tcPr>
            <w:tcW w:w="635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  <w:t xml:space="preserve">Муниципальная программа (комплексная программа) "Комплексное развитие сельской территории муниципального образования _______________ сель/поссовет Оренбургского района Оренбургской области на 2023-2030 годы"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  <w:t xml:space="preserve">85 0 00 00000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</w:pP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</w:pP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  <w:t xml:space="preserve">36 360 445,97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  <w:t xml:space="preserve">12 201 958,00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  <w:t xml:space="preserve">9 130 484,00</w:t>
            </w:r>
          </w:p>
        </w:tc>
      </w:tr>
      <w:tr>
        <w:trPr/>
        <w:tc>
          <w:tcPr>
            <w:tcW w:w="635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  <w:t xml:space="preserve">Комплексы процессных мероприятий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  <w:t xml:space="preserve">85 4 00 00000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</w:pP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</w:pP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  <w:t xml:space="preserve">36 360 445,97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  <w:t xml:space="preserve">12 201 958,00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  <w:t xml:space="preserve">9 130 484,00</w:t>
            </w:r>
          </w:p>
        </w:tc>
      </w:tr>
      <w:tr>
        <w:trPr/>
        <w:tc>
          <w:tcPr>
            <w:tcW w:w="635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Комплекс процессных мероприятий "Управление и распоряжение объектами муниципальной собственности, в том числе земельными ресурсами"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85 4 01 00000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322 000,00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150 000,00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150 000,00</w:t>
            </w:r>
          </w:p>
        </w:tc>
      </w:tr>
      <w:tr>
        <w:trPr/>
        <w:tc>
          <w:tcPr>
            <w:tcW w:w="635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Мероприятия по землеустройству и землепользованию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85 4 01 90044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322 000,00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150 000,00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150 000,00</w:t>
            </w:r>
          </w:p>
        </w:tc>
      </w:tr>
      <w:tr>
        <w:trPr/>
        <w:tc>
          <w:tcPr>
            <w:tcW w:w="635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85 4 01 90044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04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12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240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322 000,00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150 000,00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150 000,00</w:t>
            </w:r>
          </w:p>
        </w:tc>
      </w:tr>
      <w:tr>
        <w:trPr/>
        <w:tc>
          <w:tcPr>
            <w:tcW w:w="635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Комплекс процессных мероприятий "Развитие дорожного хозяйства"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85 4 02 00000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27 712 296,44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3 569 458,00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4 307 980,00</w:t>
            </w:r>
          </w:p>
        </w:tc>
      </w:tr>
      <w:tr>
        <w:trPr/>
        <w:tc>
          <w:tcPr>
            <w:tcW w:w="635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Осуществление дорожной деятельности в отношении автомобильных дорог местного значения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85 4 02 6Д409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8 531 619,39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0,00</w:t>
            </w:r>
          </w:p>
        </w:tc>
      </w:tr>
      <w:tr>
        <w:trPr/>
        <w:tc>
          <w:tcPr>
            <w:tcW w:w="635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85 4 02 6Д409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04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09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240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8 531 619,39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0,00</w:t>
            </w:r>
          </w:p>
        </w:tc>
      </w:tr>
      <w:tr>
        <w:trPr/>
        <w:tc>
          <w:tcPr>
            <w:tcW w:w="635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Капитальный ремонт и ремонт сети автомобильных дорог местного значения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85 4 02 9Д049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236 149,16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0,00</w:t>
            </w:r>
          </w:p>
        </w:tc>
      </w:tr>
      <w:tr>
        <w:trPr/>
        <w:tc>
          <w:tcPr>
            <w:tcW w:w="635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85 4 02 9Д049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04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09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240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236 149,16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0,00</w:t>
            </w:r>
          </w:p>
        </w:tc>
      </w:tr>
      <w:tr>
        <w:trPr/>
        <w:tc>
          <w:tcPr>
            <w:tcW w:w="635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Содержание сети автомобильных дорог общего пользования местного значения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85 4 02 9Д050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8 312 980,89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3 569 458,00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4 307 980,00</w:t>
            </w:r>
          </w:p>
        </w:tc>
      </w:tr>
      <w:tr>
        <w:trPr/>
        <w:tc>
          <w:tcPr>
            <w:tcW w:w="635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85 4 02 9Д050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04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09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240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8 312 980,89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3 569 458,00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4 307 980,00</w:t>
            </w:r>
          </w:p>
        </w:tc>
      </w:tr>
      <w:tr>
        <w:trPr/>
        <w:tc>
          <w:tcPr>
            <w:tcW w:w="635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Осуществление дорожной деятельности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85 4 02 SД850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10 631 547,00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0,00</w:t>
            </w:r>
          </w:p>
        </w:tc>
      </w:tr>
      <w:tr>
        <w:trPr/>
        <w:tc>
          <w:tcPr>
            <w:tcW w:w="635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85 4 02 SД850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04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09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240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10 631 547,00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0,00</w:t>
            </w:r>
          </w:p>
        </w:tc>
      </w:tr>
      <w:tr>
        <w:trPr/>
        <w:tc>
          <w:tcPr>
            <w:tcW w:w="635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Комплекс процессных мероприятий "Развитие жилищного фонда"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85 4 03 00000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1 900 000,00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0,00</w:t>
            </w:r>
          </w:p>
        </w:tc>
      </w:tr>
      <w:tr>
        <w:trPr/>
        <w:tc>
          <w:tcPr>
            <w:tcW w:w="635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85 4 03 40033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1 900 000,00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0,00</w:t>
            </w:r>
          </w:p>
        </w:tc>
      </w:tr>
      <w:tr>
        <w:trPr/>
        <w:tc>
          <w:tcPr>
            <w:tcW w:w="635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Бюджетные инвестиции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85 4 03 40033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01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410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1 900 000,00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0,00</w:t>
            </w:r>
          </w:p>
        </w:tc>
      </w:tr>
      <w:tr>
        <w:trPr/>
        <w:tc>
          <w:tcPr>
            <w:tcW w:w="635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Комплекс процессных мероприятий «Развитие коммунального хозяйства»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85 4 04 00000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828 348,76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3 832 500,00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453 000,00</w:t>
            </w:r>
          </w:p>
        </w:tc>
      </w:tr>
      <w:tr>
        <w:trPr/>
        <w:tc>
          <w:tcPr>
            <w:tcW w:w="635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Мероприятия в области коммунального хозяйства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85 4 04 90035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828 348,76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453 000,00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453 000,00</w:t>
            </w:r>
          </w:p>
        </w:tc>
      </w:tr>
      <w:tr>
        <w:trPr/>
        <w:tc>
          <w:tcPr>
            <w:tcW w:w="635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85 4 04 90035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02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240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828 348,76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453 000,00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453 000,00</w:t>
            </w:r>
          </w:p>
        </w:tc>
      </w:tr>
      <w:tr>
        <w:trPr/>
        <w:tc>
          <w:tcPr>
            <w:tcW w:w="635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Мероприятия по капитальному ремонту объектов коммунальной инфраструктуры муниципальной собственности за счет средств местных бюджетов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85 4 04 S045R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3 379 500,00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0,00</w:t>
            </w:r>
          </w:p>
        </w:tc>
      </w:tr>
      <w:tr>
        <w:trPr/>
        <w:tc>
          <w:tcPr>
            <w:tcW w:w="635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85 4 04 S045R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02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240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3 379 500,00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0,00</w:t>
            </w:r>
          </w:p>
        </w:tc>
      </w:tr>
      <w:tr>
        <w:trPr/>
        <w:tc>
          <w:tcPr>
            <w:tcW w:w="635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Комплекс процессных мероприятий "Благоустройство территории сельсовета"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85 4 05 00000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1 035 345,57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1 600 000,00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1 169 504,00</w:t>
            </w:r>
          </w:p>
        </w:tc>
      </w:tr>
      <w:tr>
        <w:trPr/>
        <w:tc>
          <w:tcPr>
            <w:tcW w:w="635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Благоустройство территории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85 4 05 90036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1 035 345,57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1 600 000,00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1 169 504,00</w:t>
            </w:r>
          </w:p>
        </w:tc>
      </w:tr>
      <w:tr>
        <w:trPr/>
        <w:tc>
          <w:tcPr>
            <w:tcW w:w="635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85 4 05 90036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03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240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1 035 345,57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1 600 000,00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1 169 504,00</w:t>
            </w:r>
          </w:p>
        </w:tc>
      </w:tr>
      <w:tr>
        <w:trPr/>
        <w:tc>
          <w:tcPr>
            <w:tcW w:w="635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Комплекс процессных мероприятий "Озеленение территории и освещение улиц"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85 4 06 00000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4 306 655,20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2 850 000,00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2 850 000,00</w:t>
            </w:r>
          </w:p>
        </w:tc>
      </w:tr>
      <w:tr>
        <w:trPr/>
        <w:tc>
          <w:tcPr>
            <w:tcW w:w="635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Освещение улиц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85 4 06 90038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4 306 655,20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2 850 000,00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2 850 000,00</w:t>
            </w:r>
          </w:p>
        </w:tc>
      </w:tr>
      <w:tr>
        <w:trPr/>
        <w:tc>
          <w:tcPr>
            <w:tcW w:w="635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85 4 06 90038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04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09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240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850 000,00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850 000,00</w:t>
            </w:r>
          </w:p>
        </w:tc>
      </w:tr>
      <w:tr>
        <w:trPr/>
        <w:tc>
          <w:tcPr>
            <w:tcW w:w="635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85 4 06 90038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03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240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4 306 655,20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2 000 000,00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2 000 000,00</w:t>
            </w:r>
          </w:p>
        </w:tc>
      </w:tr>
      <w:tr>
        <w:trPr/>
        <w:tc>
          <w:tcPr>
            <w:tcW w:w="635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Комплекс процессных мероприятий "Организация ритуальных услуг и содержание мест захоронения"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85 4 07 00000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55 800,00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0,00</w:t>
            </w:r>
          </w:p>
        </w:tc>
      </w:tr>
      <w:tr>
        <w:trPr/>
        <w:tc>
          <w:tcPr>
            <w:tcW w:w="635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Организация ритуальных услуг и содержание мест захоронения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85 4 07 70039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55 800,00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0,00</w:t>
            </w:r>
          </w:p>
        </w:tc>
      </w:tr>
      <w:tr>
        <w:trPr/>
        <w:tc>
          <w:tcPr>
            <w:tcW w:w="635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85 4 07 70039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03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240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55 800,00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0,00</w:t>
            </w:r>
          </w:p>
        </w:tc>
      </w:tr>
      <w:tr>
        <w:trPr/>
        <w:tc>
          <w:tcPr>
            <w:tcW w:w="635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Комплекс процессных мероприятий "Безопасность"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85 4 09 00000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100 000,00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100 000,00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100 000,00</w:t>
            </w:r>
          </w:p>
        </w:tc>
      </w:tr>
      <w:tr>
        <w:trPr/>
        <w:tc>
          <w:tcPr>
            <w:tcW w:w="635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Обеспечение муниципальным учреждением пожарной безопасности в границах населенных пунктов поселения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85 4 09 70006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100 000,00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100 000,00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100 000,00</w:t>
            </w:r>
          </w:p>
        </w:tc>
      </w:tr>
      <w:tr>
        <w:trPr/>
        <w:tc>
          <w:tcPr>
            <w:tcW w:w="635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85 4 09 70006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03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10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240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100 000,00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100 000,00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100 000,00</w:t>
            </w:r>
          </w:p>
        </w:tc>
      </w:tr>
      <w:tr>
        <w:trPr/>
        <w:tc>
          <w:tcPr>
            <w:tcW w:w="635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Комплекс процессных мероприятий "Развитие физической культуры и массового спорта"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85 4 10 00000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100 000,00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100 000,00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100 000,00</w:t>
            </w:r>
          </w:p>
        </w:tc>
      </w:tr>
      <w:tr>
        <w:trPr/>
        <w:tc>
          <w:tcPr>
            <w:tcW w:w="635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Организация проведения официальных физкультурно-оздоровительных и спортивных мероприятий поселения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85 4 10 90054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100 000,00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100 000,00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100 000,00</w:t>
            </w:r>
          </w:p>
        </w:tc>
      </w:tr>
      <w:tr>
        <w:trPr/>
        <w:tc>
          <w:tcPr>
            <w:tcW w:w="635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85 4 10 90054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11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01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240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100 000,00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100 000,00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100 000,00</w:t>
            </w:r>
          </w:p>
        </w:tc>
      </w:tr>
      <w:tr>
        <w:trPr/>
        <w:tc>
          <w:tcPr>
            <w:tcW w:w="635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  <w:t xml:space="preserve">Муниципальная программа (комплексная программа) "Совершенствование муниципального управления в муниципальном образовании _______________ сель/поссовет Оренбургского района Оренбургской области на 2023-2030 годы"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  <w:t xml:space="preserve">86 0 00 00000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</w:pP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</w:pP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  <w:t xml:space="preserve">25 244 550,41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  <w:t xml:space="preserve">20 438 728,64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  <w:t xml:space="preserve">20 456 680,77</w:t>
            </w:r>
          </w:p>
        </w:tc>
      </w:tr>
      <w:tr>
        <w:trPr/>
        <w:tc>
          <w:tcPr>
            <w:tcW w:w="635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  <w:t xml:space="preserve">Комплексы процессных мероприятий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  <w:t xml:space="preserve">86 4 00 00000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</w:pP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</w:pP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  <w:t xml:space="preserve">25 244 550,41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  <w:t xml:space="preserve">20 438 728,64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  <w:t xml:space="preserve">20 456 680,77</w:t>
            </w:r>
          </w:p>
        </w:tc>
      </w:tr>
      <w:tr>
        <w:trPr/>
        <w:tc>
          <w:tcPr>
            <w:tcW w:w="635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86 4 01 00000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25 049 297,41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20 252 475,64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20 270 427,77</w:t>
            </w:r>
          </w:p>
        </w:tc>
      </w:tr>
      <w:tr>
        <w:trPr/>
        <w:tc>
          <w:tcPr>
            <w:tcW w:w="635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Обеспечение деятельности главы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86 4 01 10001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1 822 800,00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1 822 800,00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1 822 800,00</w:t>
            </w:r>
          </w:p>
        </w:tc>
      </w:tr>
      <w:tr>
        <w:trPr/>
        <w:tc>
          <w:tcPr>
            <w:tcW w:w="635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Расходы на выплаты персоналу государственных (муниципальных) органов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86 4 01 10001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01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02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120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1 822 800,00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1 822 800,00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1 822 800,00</w:t>
            </w:r>
          </w:p>
        </w:tc>
      </w:tr>
      <w:tr>
        <w:trPr/>
        <w:tc>
          <w:tcPr>
            <w:tcW w:w="635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Обеспечение деятельности администрации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86 4 01 10002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8 680 940,00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8 524 100,00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8 524 100,00</w:t>
            </w:r>
          </w:p>
        </w:tc>
      </w:tr>
      <w:tr>
        <w:trPr/>
        <w:tc>
          <w:tcPr>
            <w:tcW w:w="635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Расходы на выплаты персоналу государственных (муниципальных) органов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86 4 01 10002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01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04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120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5 511 900,00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5 511 900,00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5 511 900,00</w:t>
            </w:r>
          </w:p>
        </w:tc>
      </w:tr>
      <w:tr>
        <w:trPr/>
        <w:tc>
          <w:tcPr>
            <w:tcW w:w="635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86 4 01 10002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01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04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240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3 012 200,00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3 012 200,00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3 012 200,00</w:t>
            </w:r>
          </w:p>
        </w:tc>
      </w:tr>
      <w:tr>
        <w:trPr/>
        <w:tc>
          <w:tcPr>
            <w:tcW w:w="635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Специальные расходы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86 4 01 10002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01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07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880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156 840,00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0,00</w:t>
            </w:r>
          </w:p>
        </w:tc>
      </w:tr>
      <w:tr>
        <w:trPr/>
        <w:tc>
          <w:tcPr>
            <w:tcW w:w="635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86 4 01 51180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460 280,34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499 975,64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517 927,77</w:t>
            </w:r>
          </w:p>
        </w:tc>
      </w:tr>
      <w:tr>
        <w:trPr/>
        <w:tc>
          <w:tcPr>
            <w:tcW w:w="635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Расходы на выплаты персоналу государственных (муниципальных) органов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86 4 01 51180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02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03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120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426 280,34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499 975,64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517 927,77</w:t>
            </w:r>
          </w:p>
        </w:tc>
      </w:tr>
      <w:tr>
        <w:trPr/>
        <w:tc>
          <w:tcPr>
            <w:tcW w:w="635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86 4 01 51180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02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03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240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34 000,00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0,00</w:t>
            </w:r>
          </w:p>
        </w:tc>
      </w:tr>
      <w:tr>
        <w:trPr/>
        <w:tc>
          <w:tcPr>
            <w:tcW w:w="635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Проведение мероприятий к дню села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86 4 01 60000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35 000,00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0,00</w:t>
            </w:r>
          </w:p>
        </w:tc>
      </w:tr>
      <w:tr>
        <w:trPr/>
        <w:tc>
          <w:tcPr>
            <w:tcW w:w="635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86 4 01 60000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01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13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240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35 000,00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0,00</w:t>
            </w:r>
          </w:p>
        </w:tc>
      </w:tr>
      <w:tr>
        <w:trPr/>
        <w:tc>
          <w:tcPr>
            <w:tcW w:w="635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Осуществление администратино-хозяйственного обеспечения органов местного самоуправления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86 4 01 70003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10 301 394,63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9 100 600,00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9 100 600,00</w:t>
            </w:r>
          </w:p>
        </w:tc>
      </w:tr>
      <w:tr>
        <w:trPr/>
        <w:tc>
          <w:tcPr>
            <w:tcW w:w="635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Расходы на выплаты персоналу казенных учреждений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86 4 01 70003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01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13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110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8 946 394,63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7 870 600,00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7 870 600,00</w:t>
            </w:r>
          </w:p>
        </w:tc>
      </w:tr>
      <w:tr>
        <w:trPr/>
        <w:tc>
          <w:tcPr>
            <w:tcW w:w="635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86 4 01 70003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01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13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240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1 350 000,00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1 225 000,00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1 225 000,00</w:t>
            </w:r>
          </w:p>
        </w:tc>
      </w:tr>
      <w:tr>
        <w:trPr/>
        <w:tc>
          <w:tcPr>
            <w:tcW w:w="635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Уплата налогов, сборов и иных платежей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86 4 01 70003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01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13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850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5 000,00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5 000,00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5 000,00</w:t>
            </w:r>
          </w:p>
        </w:tc>
      </w:tr>
      <w:tr>
        <w:trPr/>
        <w:tc>
          <w:tcPr>
            <w:tcW w:w="635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Финансовое обеспечение повышения оплаты труда отдельных категорий работников муниципальных учреждений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86 4 01 71111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527 000,00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0,00</w:t>
            </w:r>
          </w:p>
        </w:tc>
      </w:tr>
      <w:tr>
        <w:trPr/>
        <w:tc>
          <w:tcPr>
            <w:tcW w:w="635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Расходы на выплаты персоналу казенных учреждений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86 4 01 71111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01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13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110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527 000,00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0,00</w:t>
            </w:r>
          </w:p>
        </w:tc>
      </w:tr>
      <w:tr>
        <w:trPr/>
        <w:tc>
          <w:tcPr>
            <w:tcW w:w="635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Финансовое обеспечение минимального размера оплаты труда работников бюджетной сферы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86 4 01 78888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118 000,00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0,00</w:t>
            </w:r>
          </w:p>
        </w:tc>
      </w:tr>
      <w:tr>
        <w:trPr/>
        <w:tc>
          <w:tcPr>
            <w:tcW w:w="635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Расходы на выплаты персоналу казенных учреждений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86 4 01 78888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01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13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110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118 000,00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0,00</w:t>
            </w:r>
          </w:p>
        </w:tc>
      </w:tr>
      <w:tr>
        <w:trPr/>
        <w:tc>
          <w:tcPr>
            <w:tcW w:w="635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Уплата членских взносов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86 4 01 90004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29 760,00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25 000,00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25 000,00</w:t>
            </w:r>
          </w:p>
        </w:tc>
      </w:tr>
      <w:tr>
        <w:trPr/>
        <w:tc>
          <w:tcPr>
            <w:tcW w:w="635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Уплата налогов, сборов и иных платежей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86 4 01 90004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01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13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850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29 760,00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25 000,00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25 000,00</w:t>
            </w:r>
          </w:p>
        </w:tc>
      </w:tr>
      <w:tr>
        <w:trPr/>
        <w:tc>
          <w:tcPr>
            <w:tcW w:w="635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Уплата налогов, сборов и иных платежей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86 4 01 90009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25,41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30 000,00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30 000,00</w:t>
            </w:r>
          </w:p>
        </w:tc>
      </w:tr>
      <w:tr>
        <w:trPr/>
        <w:tc>
          <w:tcPr>
            <w:tcW w:w="635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Уплата налогов, сборов и иных платежей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86 4 01 90009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01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13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850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25,41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30 000,00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30 000,00</w:t>
            </w:r>
          </w:p>
        </w:tc>
      </w:tr>
      <w:tr>
        <w:trPr/>
        <w:tc>
          <w:tcPr>
            <w:tcW w:w="635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Выполнение других общегосударственных вопросов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86 4 01 90010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1 137 894,03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250 000,00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250 000,00</w:t>
            </w:r>
          </w:p>
        </w:tc>
      </w:tr>
      <w:tr>
        <w:trPr/>
        <w:tc>
          <w:tcPr>
            <w:tcW w:w="635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86 4 01 90010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01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13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240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321 826,00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150 000,00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150 000,00</w:t>
            </w:r>
          </w:p>
        </w:tc>
      </w:tr>
      <w:tr>
        <w:trPr/>
        <w:tc>
          <w:tcPr>
            <w:tcW w:w="635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Исполнение судебных актов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86 4 01 90010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01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13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830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649 129,90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0,00</w:t>
            </w:r>
          </w:p>
        </w:tc>
      </w:tr>
      <w:tr>
        <w:trPr/>
        <w:tc>
          <w:tcPr>
            <w:tcW w:w="635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Уплата налогов, сборов и иных платежей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86 4 01 90010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01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13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850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166 938,13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100 000,00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100 000,00</w:t>
            </w:r>
          </w:p>
        </w:tc>
      </w:tr>
      <w:tr>
        <w:trPr/>
        <w:tc>
          <w:tcPr>
            <w:tcW w:w="635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Содержание муниципального имущества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86 4 01 95555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1 936 203,00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0,00</w:t>
            </w:r>
          </w:p>
        </w:tc>
      </w:tr>
      <w:tr>
        <w:trPr/>
        <w:tc>
          <w:tcPr>
            <w:tcW w:w="635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Уплата налогов, сборов и иных платежей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86 4 01 95555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01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13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850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1 936 203,00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0,00</w:t>
            </w:r>
          </w:p>
        </w:tc>
      </w:tr>
      <w:tr>
        <w:trPr/>
        <w:tc>
          <w:tcPr>
            <w:tcW w:w="635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Комплекс процессных мероприятий "Предоставление мер социальной поддержки отдельных категорий граждан"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86 4 02 00000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50 208,00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50 208,00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50 208,00</w:t>
            </w:r>
          </w:p>
        </w:tc>
      </w:tr>
      <w:tr>
        <w:trPr/>
        <w:tc>
          <w:tcPr>
            <w:tcW w:w="635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Пенсия за выслугу лет муниципальным служащим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86 4 02 10009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50 208,00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50 208,00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50 208,00</w:t>
            </w:r>
          </w:p>
        </w:tc>
      </w:tr>
      <w:tr>
        <w:trPr/>
        <w:tc>
          <w:tcPr>
            <w:tcW w:w="635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Публичные нормативные социальные выплаты гражданам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86 4 02 10009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10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01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310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50 208,00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50 208,00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50 208,00</w:t>
            </w:r>
          </w:p>
        </w:tc>
      </w:tr>
      <w:tr>
        <w:trPr/>
        <w:tc>
          <w:tcPr>
            <w:tcW w:w="635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Комплекс процессных мероприятий "Обеспечение передачи части полномочий муниципальному образованию Оренбургский район"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86 4 03 00000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145 045,00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136 045,00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136 045,00</w:t>
            </w:r>
          </w:p>
        </w:tc>
      </w:tr>
      <w:tr>
        <w:trPr/>
        <w:tc>
          <w:tcPr>
            <w:tcW w:w="635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Межбюджетные трасферты бюджету муниципального района на осуществление полномочий в сфере муниципального земельного контроля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86 4 03 60002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47 000,00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47 000,00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47 000,00</w:t>
            </w:r>
          </w:p>
        </w:tc>
      </w:tr>
      <w:tr>
        <w:trPr/>
        <w:tc>
          <w:tcPr>
            <w:tcW w:w="635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Иные межбюджетные трансферты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86 4 03 60002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01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04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540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47 000,00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47 000,00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47 000,00</w:t>
            </w:r>
          </w:p>
        </w:tc>
      </w:tr>
      <w:tr>
        <w:trPr/>
        <w:tc>
          <w:tcPr>
            <w:tcW w:w="635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Межбюджетные трасферты бюджету муниципального района на выполнение переданных полномочий комиссии по соблюдению требований к служебному поведению муниципальных служащих и урегулированию конфликта интересов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86 4 03 60040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9 000,00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0,00</w:t>
            </w:r>
          </w:p>
        </w:tc>
      </w:tr>
      <w:tr>
        <w:trPr/>
        <w:tc>
          <w:tcPr>
            <w:tcW w:w="635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Иные межбюджетные трансферты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86 4 03 60040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01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04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540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9 000,00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0,00</w:t>
            </w:r>
          </w:p>
        </w:tc>
      </w:tr>
      <w:tr>
        <w:trPr/>
        <w:tc>
          <w:tcPr>
            <w:tcW w:w="635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Межбюджетные трасферты бюджету муниципального района на выполнение переданных полномочий внешнего муниципального финансового контроля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86 4 03 61002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89 045,00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89 045,00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89 045,00</w:t>
            </w:r>
          </w:p>
        </w:tc>
      </w:tr>
      <w:tr>
        <w:trPr/>
        <w:tc>
          <w:tcPr>
            <w:tcW w:w="635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Иные межбюджетные трансферты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86 4 03 61002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01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06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540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89 045,00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89 045,00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89 045,00</w:t>
            </w:r>
          </w:p>
        </w:tc>
      </w:tr>
      <w:tr>
        <w:trPr/>
        <w:tc>
          <w:tcPr>
            <w:tcW w:w="635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  <w:t xml:space="preserve">9900000000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  <w:t xml:space="preserve">99 0 00 00000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</w:pP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</w:pP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  <w:t xml:space="preserve">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  <w:t xml:space="preserve">933 215,00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  <w:t xml:space="preserve">1 965 443,00</w:t>
            </w:r>
          </w:p>
        </w:tc>
      </w:tr>
      <w:tr>
        <w:trPr/>
        <w:tc>
          <w:tcPr>
            <w:tcW w:w="635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Условно утвержденные расходы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99 9 99 99999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99</w:t>
            </w: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99</w:t>
            </w: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990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0,00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933 215,00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</w:rPr>
              <w:t xml:space="preserve">1 965 443,00</w:t>
            </w:r>
          </w:p>
        </w:tc>
      </w:tr>
      <w:tr>
        <w:trPr/>
        <w:tc>
          <w:tcPr>
            <w:tcW w:w="6355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>
            <w:pPr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  <w:t xml:space="preserve">ИТОГО РАСХОДОВ</w:t>
            </w:r>
          </w:p>
        </w:tc>
        <w:tc>
          <w:tcPr>
            <w:tcW w:w="1984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</w:pP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</w:pPr>
          </w:p>
        </w:tc>
        <w:tc>
          <w:tcPr>
            <w:tcW w:w="566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</w:pPr>
          </w:p>
        </w:tc>
        <w:tc>
          <w:tcPr>
            <w:tcW w:w="85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center"/>
          </w:pPr>
          <w:p>
            <w:pPr>
              <w:jc w:val="center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</w:pP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  <w:t xml:space="preserve">70 606 996,38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  <w:t xml:space="preserve">40 580 401,64</w:t>
            </w:r>
          </w:p>
        </w:tc>
        <w:tc>
          <w:tcPr>
            <w:tcW w:w="1700" w:type="dxa"/>
            <w:tcBorders>
              <w:bottom w:val="single" w:sz="6" w:space="0" w:color="000000"/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bottom w:w="80" w:type="dxa"/>
              <w:left w:w="80" w:type="dxa"/>
              <w:top w:w="80" w:type="dxa"/>
              <w:right w:w="80" w:type="dxa"/>
            </w:tcMar>
            <w:vAlign w:val="baseline"/>
            <w:noWrap w:val="off"/>
          </w:tcPr>
          <w:pPr>
            <w:jc w:val="right"/>
          </w:pPr>
          <w:p>
            <w:pPr>
              <w:jc w:val="right"/>
              <w:pBdr/>
              <w:bidi w:val="off"/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</w:pPr>
            <w:r>
              <w:rPr>
                <w:color w:val="000000"/>
                <w:rFonts w:ascii="Times New Roman" w:eastAsia="Times New Roman" w:hAnsi="Times New Roman" w:cs="Times New Roman"/>
                <w:sz w:val="28"/>
                <w:szCs w:val="28"/>
                <w:spacing w:val="0"/>
                <w:b w:val="on"/>
                <w:bCs w:val="on"/>
              </w:rPr>
              <w:t xml:space="preserve">38 559 107,77</w:t>
            </w:r>
          </w:p>
        </w:tc>
      </w:tr>
    </w:tbl>
    <w:sectPr>
      <w:titlePg/>
      <w:headerReference w:type="default" r:id="rId3"/>
      <w:titlePg/>
      <w:footerReference r:id="rId4"/>
      <w:pgSz w:w="16837" w:h="11905" w:orient="landscape"/>
      <w:pgMar w:top="566" w:bottom="566" w:left="1133" w:right="283" w:header="566" w:footer="0"/>
      <w:pgBorders w:offsetFrom="page"/>
    </w:sectPr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636" w:type="dxa"/>
      <w:tblLook w:val="01E0"/>
      <w:tblLayout w:type="fixed"/>
    </w:tblPr>
    <w:tr>
      <w:trPr/>
      <w:tc>
        <w:tcPr>
          <w:tcW w:w="15636" w:type="dxa"/>
        </w:tcPr>
        <w:p>
          <w:pPr>
            <w:spacing w:line="1" w:lineRule="auto"/>
          </w:pPr>
        </w:p>
      </w:tc>
    </w:tr>
  </w:tbl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636" w:type="dxa"/>
      <w:tblLook w:val="01E0"/>
      <w:tblLayout w:type="fixed"/>
    </w:tblPr>
    <w:tblGrid>
      <w:gridCol w:val="15636"/>
    </w:tblGrid>
    <w:tr>
      <w:trPr/>
      <w:tc>
        <w:tcPr>
          <w:tcW w:w="15636" w:type="dxa"/>
        </w:tcPr>
        <w:p>
          <w:pPr>
            <w:jc w:val="center"/>
            <w:pBdr/>
            <w:bidi w:val="off"/>
            <w:rPr>
              <w:color w:val="000000"/>
              <w:rFonts w:ascii="Times New Roman" w:eastAsia="Times New Roman" w:hAnsi="Times New Roman" w:cs="Times New Roman"/>
              <w:sz w:val="20"/>
              <w:szCs w:val="20"/>
              <w:spacing w:val="0"/>
            </w:rPr>
          </w:pPr>
          <w:r>
            <w:rFonts w:ascii="Times New Roman" w:eastAsia="Times New Roman" w:hAnsi="Times New Roman" w:cs="Times New Roman"/>
            <w:sz w:val="20"/>
            <w:szCs w:val="20"/>
            <w:spacing w:val="0"/>
            <w:fldChar w:fldCharType="begin"/>
          </w:r>
          <w:r>
            <w:rPr>
              <w:color w:val="000000"/>
              <w:rFonts w:ascii="Times New Roman" w:eastAsia="Times New Roman" w:hAnsi="Times New Roman" w:cs="Times New Roman"/>
              <w:sz w:val="20"/>
              <w:szCs w:val="20"/>
              <w:spacing w:val="0"/>
            </w:rPr>
            <w:instrText>PAGE</w:instrText>
          </w:r>
          <w:r>
            <w:rFonts w:ascii="Times New Roman" w:eastAsia="Times New Roman" w:hAnsi="Times New Roman" w:cs="Times New Roman"/>
            <w:sz w:val="20"/>
            <w:szCs w:val="20"/>
            <w:spacing w:val="0"/>
            <w:fldChar w:fldCharType="end"/>
          </w:r>
        </w:p>
        <w:p>
          <w:pPr>
            <w:spacing w:line="1" w:lineRule="auto"/>
          </w:pPr>
        </w:p>
      </w:tc>
    </w:tr>
  </w:tbl>
</w:hdr>
</file>

<file path=word/settings.xml><?xml version="1.0" encoding="utf-8"?>
<w:settings xmlns:w="http://schemas.openxmlformats.org/wordprocessingml/2006/main">
  <w:zoom w:percent="100"/>
  <w:displayBackgroundShape/>
  <w:view w:val="print"/>
  <w:autoHyphenation/>
</w:settings>
</file>

<file path=word/styles.xml><?xml version="1.0" encoding="utf-8"?>
<w:styles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style w:type="character" w:styleId="Hyperlink">
    <w:name w:val="Hyperlink"/>
    <w:rPr>
      <w:u w:val="single"/>
      <w:color w:val="0000ff"/>
    </w:rPr>
  </w:style>
  <w:style w:type="table" w:default="1" w:styleId="TableNormal">
    <w:name w:val="Normal Table"/>
    <w:uiPriority w:val="99"/>
    <w:semiHidden/>
    <w:unhiden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4" Type="http://schemas.openxmlformats.org/officeDocument/2006/relationships/footer" Target="footer1.xml"/><Relationship Id="rId1" Type="http://schemas.openxmlformats.org/officeDocument/2006/relationships/styles" Target="styles.xml"/></Relationships>
</file>

<file path=docProps/core.xml><?xml version="1.0" encoding="utf-8"?>
<cp:coreProperties xmlns:cp="http://schemas.openxmlformats.org/package/2006/metadata/core-properties" xmlns:dc="http://purl.org/dc/elements/1.1/">
  <dc:creator/>
  <dc:title/>
  <dc:description/>
  <dc:subject/>
</cp:coreProperties>
</file>